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9A" w:rsidRPr="00BD209A" w:rsidRDefault="00BD209A" w:rsidP="00BD209A">
      <w:pPr>
        <w:pStyle w:val="ListParagraph"/>
        <w:spacing w:before="120" w:after="120"/>
        <w:jc w:val="center"/>
        <w:rPr>
          <w:i/>
          <w:iCs/>
          <w:sz w:val="36"/>
          <w:szCs w:val="36"/>
          <w:u w:val="single"/>
        </w:rPr>
      </w:pPr>
      <w:r w:rsidRPr="00BD209A">
        <w:rPr>
          <w:sz w:val="36"/>
          <w:szCs w:val="36"/>
          <w:u w:val="single"/>
        </w:rPr>
        <w:t>Bulk Movement</w:t>
      </w:r>
    </w:p>
    <w:p w:rsidR="00BD209A" w:rsidRDefault="00BD209A" w:rsidP="00BD209A">
      <w:pPr>
        <w:pStyle w:val="ListParagraph"/>
        <w:spacing w:before="120" w:after="120"/>
        <w:jc w:val="both"/>
      </w:pPr>
    </w:p>
    <w:p w:rsidR="00BD209A" w:rsidRPr="0055240D" w:rsidRDefault="00BD209A" w:rsidP="00BD209A">
      <w:pPr>
        <w:pStyle w:val="ListParagraph"/>
        <w:spacing w:before="120" w:after="120"/>
        <w:ind w:left="0"/>
        <w:jc w:val="both"/>
        <w:rPr>
          <w:i/>
          <w:iCs/>
        </w:rPr>
      </w:pPr>
      <w:r>
        <w:t xml:space="preserve">       </w:t>
      </w:r>
      <w:r w:rsidRPr="0055240D">
        <w:t>The Food Corporation of India (“</w:t>
      </w:r>
      <w:r w:rsidRPr="0055240D">
        <w:rPr>
          <w:b/>
          <w:bCs/>
        </w:rPr>
        <w:t>FCI</w:t>
      </w:r>
      <w:r>
        <w:t>”</w:t>
      </w:r>
      <w:r w:rsidRPr="0055240D">
        <w:t>) was established under Section 3 of the Food Corporations Act, 1964 (“</w:t>
      </w:r>
      <w:r w:rsidRPr="0055240D">
        <w:rPr>
          <w:b/>
        </w:rPr>
        <w:t>Food Corporations Act</w:t>
      </w:r>
      <w:r w:rsidRPr="0055240D">
        <w:t xml:space="preserve">”). Under Section 13 of the Food Corporations Act, it is the primary duty of the </w:t>
      </w:r>
      <w:r>
        <w:t xml:space="preserve">FCI </w:t>
      </w:r>
      <w:r w:rsidRPr="0055240D">
        <w:t xml:space="preserve">to undertake purchase, storage, movement, transportation, distribution and sale of food grains and other foodstuffs. Further, the </w:t>
      </w:r>
      <w:r>
        <w:t>FCI</w:t>
      </w:r>
      <w:r w:rsidRPr="0055240D">
        <w:t xml:space="preserve"> is required to promote by such means, as it thinks fit, the production of food grains and other foodstuffs, set up, or assist in the setting up of, rice mills, flour-mills and other undertakings for the processing of food grains and other foodstuffs and discharge such other functions as may be prescribed or as are supplemental, incidental or consequential to any of the functions conferred on it under the Food Corporations Act, with the prior approval of the Government of India. The Parliament of India has also enacted the National Food Security Act, 2013 (“</w:t>
      </w:r>
      <w:r w:rsidRPr="0055240D">
        <w:rPr>
          <w:b/>
        </w:rPr>
        <w:t>National Food Security Act</w:t>
      </w:r>
      <w:r w:rsidRPr="0055240D">
        <w:t xml:space="preserve">”) </w:t>
      </w:r>
      <w:r w:rsidRPr="0055240D">
        <w:rPr>
          <w:iCs/>
        </w:rPr>
        <w:t xml:space="preserve">to provide for food and nutritional security in human life cycle approach, by ensuring access to adequate quantity of quality food at affordable prices to people to live a life with dignity and for matters connected therewith or incidental </w:t>
      </w:r>
      <w:proofErr w:type="spellStart"/>
      <w:r w:rsidRPr="0055240D">
        <w:rPr>
          <w:iCs/>
        </w:rPr>
        <w:t>thereto.The</w:t>
      </w:r>
      <w:proofErr w:type="spellEnd"/>
      <w:r w:rsidRPr="0055240D">
        <w:rPr>
          <w:iCs/>
        </w:rPr>
        <w:t xml:space="preserve"> National Food Security Act</w:t>
      </w:r>
      <w:r>
        <w:rPr>
          <w:iCs/>
        </w:rPr>
        <w:t xml:space="preserve"> </w:t>
      </w:r>
      <w:r w:rsidRPr="0055240D">
        <w:rPr>
          <w:i/>
          <w:iCs/>
        </w:rPr>
        <w:t xml:space="preserve">inter – alia </w:t>
      </w:r>
      <w:r w:rsidRPr="0055240D">
        <w:rPr>
          <w:iCs/>
        </w:rPr>
        <w:t>provides for the following:</w:t>
      </w:r>
    </w:p>
    <w:p w:rsidR="00BD209A" w:rsidRPr="0055240D" w:rsidRDefault="00BD209A" w:rsidP="00BD209A">
      <w:pPr>
        <w:pStyle w:val="ListParagraph"/>
        <w:rPr>
          <w:iCs/>
        </w:rPr>
      </w:pPr>
    </w:p>
    <w:p w:rsidR="00BD209A" w:rsidRPr="0055240D" w:rsidRDefault="00BD209A" w:rsidP="00BD209A">
      <w:pPr>
        <w:pStyle w:val="ListParagraph"/>
        <w:numPr>
          <w:ilvl w:val="0"/>
          <w:numId w:val="11"/>
        </w:numPr>
        <w:tabs>
          <w:tab w:val="left" w:pos="1440"/>
        </w:tabs>
        <w:spacing w:before="120" w:after="120"/>
        <w:ind w:left="1440" w:hanging="720"/>
        <w:jc w:val="both"/>
        <w:rPr>
          <w:iCs/>
        </w:rPr>
      </w:pPr>
      <w:r w:rsidRPr="0055240D">
        <w:rPr>
          <w:iCs/>
        </w:rPr>
        <w:t>The right to receive food grains at subsidized prices by persons belonging to eligible households under the ‘Targeted Public Distribution System’;</w:t>
      </w:r>
    </w:p>
    <w:p w:rsidR="00BD209A" w:rsidRPr="0055240D" w:rsidRDefault="00BD209A" w:rsidP="00BD209A">
      <w:pPr>
        <w:pStyle w:val="ListParagraph"/>
        <w:numPr>
          <w:ilvl w:val="0"/>
          <w:numId w:val="11"/>
        </w:numPr>
        <w:tabs>
          <w:tab w:val="left" w:pos="1440"/>
        </w:tabs>
        <w:spacing w:before="120" w:after="120"/>
        <w:ind w:left="1440" w:hanging="720"/>
        <w:jc w:val="both"/>
        <w:rPr>
          <w:iCs/>
        </w:rPr>
      </w:pPr>
      <w:r w:rsidRPr="0055240D">
        <w:rPr>
          <w:iCs/>
        </w:rPr>
        <w:t>Nutritional support to pregnant women and lactating mothers;</w:t>
      </w:r>
    </w:p>
    <w:p w:rsidR="00BD209A" w:rsidRPr="0055240D" w:rsidRDefault="00BD209A" w:rsidP="00BD209A">
      <w:pPr>
        <w:pStyle w:val="ListParagraph"/>
        <w:numPr>
          <w:ilvl w:val="0"/>
          <w:numId w:val="11"/>
        </w:numPr>
        <w:tabs>
          <w:tab w:val="left" w:pos="1440"/>
        </w:tabs>
        <w:spacing w:before="120" w:after="120"/>
        <w:ind w:left="1440" w:hanging="720"/>
        <w:jc w:val="both"/>
        <w:rPr>
          <w:iCs/>
        </w:rPr>
      </w:pPr>
      <w:r w:rsidRPr="0055240D">
        <w:rPr>
          <w:iCs/>
        </w:rPr>
        <w:t>Nutritional support to children;</w:t>
      </w:r>
    </w:p>
    <w:p w:rsidR="00BD209A" w:rsidRPr="0055240D" w:rsidRDefault="00BD209A" w:rsidP="00BD209A">
      <w:pPr>
        <w:pStyle w:val="ListParagraph"/>
        <w:numPr>
          <w:ilvl w:val="0"/>
          <w:numId w:val="11"/>
        </w:numPr>
        <w:tabs>
          <w:tab w:val="left" w:pos="1440"/>
        </w:tabs>
        <w:spacing w:before="120" w:after="120"/>
        <w:ind w:left="1440" w:hanging="720"/>
        <w:jc w:val="both"/>
        <w:rPr>
          <w:iCs/>
        </w:rPr>
      </w:pPr>
      <w:r w:rsidRPr="0055240D">
        <w:rPr>
          <w:iCs/>
        </w:rPr>
        <w:t>Prevention and management of child malnutrition;</w:t>
      </w:r>
    </w:p>
    <w:p w:rsidR="00BD209A" w:rsidRPr="0055240D" w:rsidRDefault="00BD209A" w:rsidP="00BD209A">
      <w:pPr>
        <w:pStyle w:val="ListParagraph"/>
        <w:numPr>
          <w:ilvl w:val="0"/>
          <w:numId w:val="11"/>
        </w:numPr>
        <w:tabs>
          <w:tab w:val="left" w:pos="1440"/>
        </w:tabs>
        <w:spacing w:before="120" w:after="120"/>
        <w:ind w:left="1440" w:hanging="720"/>
        <w:jc w:val="both"/>
        <w:rPr>
          <w:iCs/>
        </w:rPr>
      </w:pPr>
      <w:r w:rsidRPr="0055240D">
        <w:rPr>
          <w:iCs/>
        </w:rPr>
        <w:t>Implementation of schemes for realization of entitlements; and</w:t>
      </w:r>
    </w:p>
    <w:p w:rsidR="00BD209A" w:rsidRPr="0055240D" w:rsidRDefault="00BD209A" w:rsidP="00BD209A">
      <w:pPr>
        <w:pStyle w:val="ListParagraph"/>
        <w:numPr>
          <w:ilvl w:val="0"/>
          <w:numId w:val="11"/>
        </w:numPr>
        <w:tabs>
          <w:tab w:val="left" w:pos="1440"/>
        </w:tabs>
        <w:spacing w:before="120" w:after="120"/>
        <w:ind w:left="1440" w:hanging="720"/>
        <w:jc w:val="both"/>
        <w:rPr>
          <w:iCs/>
        </w:rPr>
      </w:pPr>
      <w:r w:rsidRPr="0055240D">
        <w:rPr>
          <w:iCs/>
        </w:rPr>
        <w:t>Right to receive food security allowance in certain cases.</w:t>
      </w:r>
    </w:p>
    <w:p w:rsidR="00BD209A" w:rsidRPr="0055240D" w:rsidRDefault="00BD209A" w:rsidP="00BD209A">
      <w:pPr>
        <w:pStyle w:val="ListParagraph"/>
        <w:rPr>
          <w:iCs/>
        </w:rPr>
      </w:pPr>
    </w:p>
    <w:p w:rsidR="00BD209A" w:rsidRPr="0055240D" w:rsidRDefault="00BD209A" w:rsidP="00BD209A">
      <w:pPr>
        <w:pStyle w:val="ListParagraph"/>
        <w:ind w:left="0"/>
      </w:pPr>
      <w:r>
        <w:rPr>
          <w:iCs/>
        </w:rPr>
        <w:t xml:space="preserve">            </w:t>
      </w:r>
      <w:r w:rsidRPr="0055240D">
        <w:rPr>
          <w:iCs/>
        </w:rPr>
        <w:t xml:space="preserve">The Food Corporation of India is a major stakeholder in the implementation of the aforementioned objectives of the </w:t>
      </w:r>
      <w:r w:rsidRPr="0055240D">
        <w:t>National Food Security Act through conduct of its operations of purchase, storage, movement, transport distribution and sale of food grains and other foodstuff.</w:t>
      </w:r>
    </w:p>
    <w:p w:rsidR="00BD209A" w:rsidRPr="0055240D" w:rsidRDefault="00BD209A" w:rsidP="00BD209A">
      <w:pPr>
        <w:spacing w:before="120" w:after="120"/>
        <w:jc w:val="both"/>
      </w:pPr>
      <w:r>
        <w:rPr>
          <w:i/>
          <w:iCs/>
        </w:rPr>
        <w:t xml:space="preserve">                        </w:t>
      </w:r>
      <w:r w:rsidRPr="0055240D">
        <w:t xml:space="preserve">The </w:t>
      </w:r>
      <w:r>
        <w:t>FCI</w:t>
      </w:r>
      <w:r w:rsidRPr="0055240D">
        <w:t xml:space="preserve"> has drawn up a long – term action plan to implement steel silo storage with bulk handling facility for storing of food grains in bulk. Storage of food grains in steel silos ensures better preservation of food grains and enhances its shelf life as well as reduces losses due to theft, pilferage and transportation. Further, storage of food grains in silos is prudent given the land availability constraints of the </w:t>
      </w:r>
      <w:r>
        <w:t>FCI</w:t>
      </w:r>
      <w:r w:rsidRPr="0055240D">
        <w:t xml:space="preserve"> as it requires approximately 1/</w:t>
      </w:r>
      <w:proofErr w:type="gramStart"/>
      <w:r w:rsidRPr="0055240D">
        <w:t>3</w:t>
      </w:r>
      <w:r w:rsidRPr="00BD209A">
        <w:rPr>
          <w:vertAlign w:val="superscript"/>
        </w:rPr>
        <w:t>rd</w:t>
      </w:r>
      <w:r w:rsidRPr="0055240D">
        <w:t>(</w:t>
      </w:r>
      <w:proofErr w:type="gramEnd"/>
      <w:r w:rsidRPr="0055240D">
        <w:t xml:space="preserve">one third) land as compared to conventional storage warehouses. Steel silos can also be operated round the clock which improve overall efficiency. In light of the aforesaid, the </w:t>
      </w:r>
      <w:r>
        <w:t>FCI</w:t>
      </w:r>
      <w:r w:rsidRPr="0055240D">
        <w:t xml:space="preserve"> has decided to construct steel silos for creation of modern storage capacity for food grains through public private partnership (“</w:t>
      </w:r>
      <w:r w:rsidRPr="00BD209A">
        <w:rPr>
          <w:b/>
          <w:bCs/>
        </w:rPr>
        <w:t>PPP</w:t>
      </w:r>
      <w:r w:rsidRPr="0055240D">
        <w:t xml:space="preserve">”) model, with or without funding support by way of viability gap funding, at various locations across the country. The </w:t>
      </w:r>
      <w:r>
        <w:t>FCI</w:t>
      </w:r>
      <w:r w:rsidRPr="0055240D">
        <w:t xml:space="preserve"> plans to construct steel silos where the food grains will be procured and stored with 13(thirteen) steel silos of aggregate capacity of approximately 6,75,000</w:t>
      </w:r>
      <w:r w:rsidRPr="00BD209A">
        <w:rPr>
          <w:b/>
        </w:rPr>
        <w:t>MT</w:t>
      </w:r>
      <w:r w:rsidRPr="0055240D">
        <w:t xml:space="preserve"> in procuring region(s)(“</w:t>
      </w:r>
      <w:r w:rsidRPr="00BD209A">
        <w:rPr>
          <w:b/>
          <w:bCs/>
        </w:rPr>
        <w:t>Procurement Silos</w:t>
      </w:r>
      <w:r w:rsidRPr="0055240D">
        <w:t>”) and</w:t>
      </w:r>
      <w:r w:rsidRPr="00F3605D">
        <w:t>27 (twenty-seven)</w:t>
      </w:r>
      <w:r w:rsidRPr="0055240D">
        <w:t>steel silos with aggregate capacity of approximately 13,50,000MT in consuming region(s) (“</w:t>
      </w:r>
      <w:r w:rsidRPr="00BD209A">
        <w:rPr>
          <w:b/>
        </w:rPr>
        <w:t>Distribution Silos</w:t>
      </w:r>
      <w:r w:rsidRPr="0055240D">
        <w:t xml:space="preserve">”). The broad </w:t>
      </w:r>
      <w:proofErr w:type="gramStart"/>
      <w:r w:rsidRPr="0055240D">
        <w:t>details of the Procurement Silos and the Distribution Silos is</w:t>
      </w:r>
      <w:proofErr w:type="gramEnd"/>
      <w:r w:rsidRPr="0055240D">
        <w:t xml:space="preserve"> given in </w:t>
      </w:r>
      <w:r w:rsidRPr="00BD209A">
        <w:rPr>
          <w:b/>
        </w:rPr>
        <w:t>Table – 1</w:t>
      </w:r>
      <w:r w:rsidRPr="0055240D">
        <w:t xml:space="preserve"> below:</w:t>
      </w:r>
    </w:p>
    <w:p w:rsidR="00BD209A" w:rsidRPr="0055240D" w:rsidRDefault="00BD209A" w:rsidP="00BD209A">
      <w:pPr>
        <w:spacing w:after="160" w:line="259" w:lineRule="auto"/>
        <w:jc w:val="center"/>
        <w:rPr>
          <w:rFonts w:cs="Times New Roman"/>
          <w:b/>
          <w:bCs/>
        </w:rPr>
      </w:pPr>
      <w:r w:rsidRPr="0055240D">
        <w:rPr>
          <w:rFonts w:cs="Times New Roman"/>
          <w:b/>
          <w:bCs/>
        </w:rPr>
        <w:br w:type="page"/>
      </w:r>
      <w:r w:rsidRPr="0055240D">
        <w:rPr>
          <w:rFonts w:cs="Times New Roman"/>
          <w:b/>
          <w:bCs/>
        </w:rPr>
        <w:lastRenderedPageBreak/>
        <w:t>Table – 1</w:t>
      </w:r>
    </w:p>
    <w:p w:rsidR="00BD209A" w:rsidRPr="0055240D" w:rsidRDefault="00BD209A" w:rsidP="00BD209A">
      <w:pPr>
        <w:ind w:left="720"/>
        <w:jc w:val="center"/>
        <w:rPr>
          <w:rFonts w:cs="Times New Roman"/>
          <w:b/>
          <w:bCs/>
        </w:rPr>
      </w:pPr>
      <w:r w:rsidRPr="0055240D">
        <w:rPr>
          <w:rFonts w:cs="Times New Roman"/>
          <w:b/>
          <w:bCs/>
        </w:rPr>
        <w:t>Details of Procurement Silos and Distribution Silos</w:t>
      </w:r>
    </w:p>
    <w:tbl>
      <w:tblPr>
        <w:tblStyle w:val="TableGrid"/>
        <w:tblW w:w="8221" w:type="dxa"/>
        <w:tblInd w:w="421" w:type="dxa"/>
        <w:tblLook w:val="04A0" w:firstRow="1" w:lastRow="0" w:firstColumn="1" w:lastColumn="0" w:noHBand="0" w:noVBand="1"/>
      </w:tblPr>
      <w:tblGrid>
        <w:gridCol w:w="567"/>
        <w:gridCol w:w="2126"/>
        <w:gridCol w:w="1276"/>
        <w:gridCol w:w="2835"/>
        <w:gridCol w:w="1417"/>
      </w:tblGrid>
      <w:tr w:rsidR="00BD209A" w:rsidRPr="0055240D" w:rsidTr="00F3605D">
        <w:tc>
          <w:tcPr>
            <w:tcW w:w="567" w:type="dxa"/>
            <w:vAlign w:val="center"/>
          </w:tcPr>
          <w:p w:rsidR="00BD209A" w:rsidRPr="0055240D" w:rsidRDefault="00BD209A" w:rsidP="00F3605D">
            <w:pPr>
              <w:jc w:val="center"/>
              <w:rPr>
                <w:rFonts w:eastAsia="Times New Roman" w:cs="Times New Roman"/>
                <w:b/>
                <w:bCs/>
                <w:color w:val="000000"/>
                <w:lang w:val="en-US" w:eastAsia="en-IN" w:bidi="hi-IN"/>
              </w:rPr>
            </w:pPr>
            <w:r w:rsidRPr="0055240D">
              <w:rPr>
                <w:rFonts w:eastAsia="Times New Roman" w:cs="Times New Roman"/>
                <w:b/>
                <w:bCs/>
                <w:color w:val="000000"/>
                <w:lang w:val="en-US" w:eastAsia="en-IN" w:bidi="hi-IN"/>
              </w:rPr>
              <w:t>No.</w:t>
            </w:r>
          </w:p>
        </w:tc>
        <w:tc>
          <w:tcPr>
            <w:tcW w:w="2126" w:type="dxa"/>
            <w:vAlign w:val="center"/>
          </w:tcPr>
          <w:p w:rsidR="00BD209A" w:rsidRPr="0055240D" w:rsidRDefault="00BD209A" w:rsidP="00F3605D">
            <w:pPr>
              <w:jc w:val="center"/>
              <w:rPr>
                <w:rFonts w:cs="Times New Roman"/>
                <w:b/>
                <w:bCs/>
              </w:rPr>
            </w:pPr>
            <w:r w:rsidRPr="0055240D">
              <w:rPr>
                <w:rFonts w:eastAsia="Times New Roman" w:cs="Times New Roman"/>
                <w:b/>
                <w:bCs/>
                <w:color w:val="000000"/>
                <w:lang w:val="en-US" w:eastAsia="en-IN" w:bidi="hi-IN"/>
              </w:rPr>
              <w:t>Procuring Silos Location</w:t>
            </w:r>
          </w:p>
        </w:tc>
        <w:tc>
          <w:tcPr>
            <w:tcW w:w="1276" w:type="dxa"/>
            <w:vAlign w:val="center"/>
          </w:tcPr>
          <w:p w:rsidR="00BD209A" w:rsidRPr="0055240D" w:rsidRDefault="00BD209A" w:rsidP="00F3605D">
            <w:pPr>
              <w:jc w:val="center"/>
              <w:rPr>
                <w:rFonts w:eastAsia="Times New Roman" w:cs="Times New Roman"/>
                <w:b/>
                <w:bCs/>
                <w:color w:val="000000"/>
                <w:lang w:val="en-US" w:eastAsia="en-IN" w:bidi="hi-IN"/>
              </w:rPr>
            </w:pPr>
            <w:r w:rsidRPr="0055240D">
              <w:rPr>
                <w:rFonts w:eastAsia="Times New Roman" w:cs="Times New Roman"/>
                <w:b/>
                <w:bCs/>
                <w:color w:val="000000"/>
                <w:lang w:val="en-US" w:eastAsia="en-IN" w:bidi="hi-IN"/>
              </w:rPr>
              <w:t>Storage Capacity</w:t>
            </w:r>
          </w:p>
          <w:p w:rsidR="00BD209A" w:rsidRPr="0055240D" w:rsidRDefault="00BD209A" w:rsidP="00F3605D">
            <w:pPr>
              <w:jc w:val="center"/>
              <w:rPr>
                <w:rFonts w:cs="Times New Roman"/>
                <w:b/>
                <w:bCs/>
              </w:rPr>
            </w:pPr>
            <w:r w:rsidRPr="0055240D">
              <w:rPr>
                <w:rFonts w:eastAsia="Times New Roman" w:cs="Times New Roman"/>
                <w:b/>
                <w:bCs/>
                <w:color w:val="000000"/>
                <w:lang w:val="en-US" w:eastAsia="en-IN" w:bidi="hi-IN"/>
              </w:rPr>
              <w:t>(in MT)</w:t>
            </w:r>
          </w:p>
        </w:tc>
        <w:tc>
          <w:tcPr>
            <w:tcW w:w="2835" w:type="dxa"/>
            <w:vAlign w:val="center"/>
          </w:tcPr>
          <w:p w:rsidR="00BD209A" w:rsidRPr="0055240D" w:rsidRDefault="00BD209A" w:rsidP="00F3605D">
            <w:pPr>
              <w:jc w:val="center"/>
              <w:rPr>
                <w:rFonts w:eastAsia="Times New Roman" w:cs="Times New Roman"/>
                <w:b/>
                <w:bCs/>
                <w:color w:val="000000"/>
                <w:lang w:val="en-US" w:eastAsia="en-IN" w:bidi="hi-IN"/>
              </w:rPr>
            </w:pPr>
            <w:r w:rsidRPr="0055240D">
              <w:rPr>
                <w:rFonts w:eastAsia="Times New Roman" w:cs="Times New Roman"/>
                <w:b/>
                <w:bCs/>
                <w:color w:val="000000"/>
                <w:lang w:val="en-US" w:eastAsia="en-IN" w:bidi="hi-IN"/>
              </w:rPr>
              <w:t xml:space="preserve">Distribution Silos </w:t>
            </w:r>
          </w:p>
          <w:p w:rsidR="00BD209A" w:rsidRPr="0055240D" w:rsidRDefault="00BD209A" w:rsidP="00F3605D">
            <w:pPr>
              <w:jc w:val="center"/>
              <w:rPr>
                <w:rFonts w:cs="Times New Roman"/>
                <w:b/>
                <w:bCs/>
              </w:rPr>
            </w:pPr>
            <w:r w:rsidRPr="0055240D">
              <w:rPr>
                <w:rFonts w:eastAsia="Times New Roman" w:cs="Times New Roman"/>
                <w:b/>
                <w:bCs/>
                <w:color w:val="000000"/>
                <w:lang w:val="en-US" w:eastAsia="en-IN" w:bidi="hi-IN"/>
              </w:rPr>
              <w:t>Location</w:t>
            </w:r>
          </w:p>
        </w:tc>
        <w:tc>
          <w:tcPr>
            <w:tcW w:w="1417" w:type="dxa"/>
            <w:vAlign w:val="center"/>
          </w:tcPr>
          <w:p w:rsidR="00BD209A" w:rsidRPr="0055240D" w:rsidRDefault="00BD209A" w:rsidP="00F3605D">
            <w:pPr>
              <w:jc w:val="center"/>
              <w:rPr>
                <w:rFonts w:eastAsia="Times New Roman" w:cs="Times New Roman"/>
                <w:b/>
                <w:bCs/>
                <w:color w:val="000000"/>
                <w:lang w:val="en-US" w:eastAsia="en-IN" w:bidi="hi-IN"/>
              </w:rPr>
            </w:pPr>
            <w:r w:rsidRPr="0055240D">
              <w:rPr>
                <w:rFonts w:eastAsia="Times New Roman" w:cs="Times New Roman"/>
                <w:b/>
                <w:bCs/>
                <w:color w:val="000000"/>
                <w:lang w:val="en-US" w:eastAsia="en-IN" w:bidi="hi-IN"/>
              </w:rPr>
              <w:t>Storage Capacity</w:t>
            </w:r>
          </w:p>
          <w:p w:rsidR="00BD209A" w:rsidRPr="0055240D" w:rsidRDefault="00BD209A" w:rsidP="00F3605D">
            <w:pPr>
              <w:jc w:val="center"/>
              <w:rPr>
                <w:rFonts w:cs="Times New Roman"/>
                <w:b/>
                <w:bCs/>
              </w:rPr>
            </w:pPr>
            <w:r w:rsidRPr="0055240D">
              <w:rPr>
                <w:rFonts w:eastAsia="Times New Roman" w:cs="Times New Roman"/>
                <w:b/>
                <w:bCs/>
                <w:color w:val="000000"/>
                <w:lang w:val="en-US" w:eastAsia="en-IN" w:bidi="hi-IN"/>
              </w:rPr>
              <w:t>(in MT)</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Kotkapura</w:t>
            </w:r>
            <w:proofErr w:type="spellEnd"/>
            <w:r w:rsidRPr="0055240D">
              <w:t xml:space="preserve"> (Punjab)</w:t>
            </w:r>
          </w:p>
        </w:tc>
        <w:tc>
          <w:tcPr>
            <w:tcW w:w="1276" w:type="dxa"/>
            <w:vAlign w:val="center"/>
          </w:tcPr>
          <w:p w:rsidR="00BD209A" w:rsidRPr="0055240D" w:rsidRDefault="00BD209A" w:rsidP="00F3605D">
            <w:pPr>
              <w:jc w:val="right"/>
              <w:rPr>
                <w:rFonts w:cs="Times New Roman"/>
                <w:b/>
                <w:bCs/>
              </w:rPr>
            </w:pPr>
            <w:r w:rsidRPr="0055240D">
              <w:t>25,000</w:t>
            </w:r>
          </w:p>
        </w:tc>
        <w:tc>
          <w:tcPr>
            <w:tcW w:w="2835" w:type="dxa"/>
            <w:vAlign w:val="center"/>
          </w:tcPr>
          <w:p w:rsidR="00BD209A" w:rsidRPr="0055240D" w:rsidRDefault="00BD209A" w:rsidP="00F3605D">
            <w:pPr>
              <w:rPr>
                <w:rFonts w:cs="Times New Roman"/>
                <w:b/>
                <w:bCs/>
              </w:rPr>
            </w:pPr>
            <w:r w:rsidRPr="0055240D">
              <w:t>Ahmedabad (Gujarat)</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Barnala</w:t>
            </w:r>
            <w:proofErr w:type="spellEnd"/>
            <w:r w:rsidRPr="0055240D">
              <w:t xml:space="preserve"> (Punjab)</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Katihar</w:t>
            </w:r>
            <w:proofErr w:type="spellEnd"/>
            <w:r w:rsidRPr="0055240D">
              <w:t xml:space="preserve"> (Bihar)</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r w:rsidRPr="0055240D">
              <w:t>Patiala (Punjab)</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Changsari</w:t>
            </w:r>
            <w:proofErr w:type="spellEnd"/>
            <w:r w:rsidRPr="0055240D">
              <w:t xml:space="preserve"> (Assam)</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Sangrur</w:t>
            </w:r>
            <w:proofErr w:type="spellEnd"/>
            <w:r w:rsidRPr="0055240D">
              <w:t xml:space="preserve"> (Punjab)</w:t>
            </w:r>
          </w:p>
        </w:tc>
        <w:tc>
          <w:tcPr>
            <w:tcW w:w="1276" w:type="dxa"/>
            <w:vAlign w:val="center"/>
          </w:tcPr>
          <w:p w:rsidR="00BD209A" w:rsidRPr="0055240D" w:rsidRDefault="00BD209A" w:rsidP="00F3605D">
            <w:pPr>
              <w:jc w:val="right"/>
              <w:rPr>
                <w:rFonts w:cs="Times New Roman"/>
                <w:b/>
                <w:bCs/>
              </w:rPr>
            </w:pPr>
            <w:r w:rsidRPr="0055240D">
              <w:t>1,00,000</w:t>
            </w:r>
          </w:p>
        </w:tc>
        <w:tc>
          <w:tcPr>
            <w:tcW w:w="2835" w:type="dxa"/>
            <w:vAlign w:val="center"/>
          </w:tcPr>
          <w:p w:rsidR="00BD209A" w:rsidRPr="0055240D" w:rsidRDefault="00BD209A" w:rsidP="00F3605D">
            <w:pPr>
              <w:rPr>
                <w:rFonts w:cs="Times New Roman"/>
                <w:b/>
                <w:bCs/>
              </w:rPr>
            </w:pPr>
            <w:proofErr w:type="spellStart"/>
            <w:r w:rsidRPr="0055240D">
              <w:t>Dhamora</w:t>
            </w:r>
            <w:proofErr w:type="spellEnd"/>
            <w:r w:rsidRPr="0055240D">
              <w:t xml:space="preserve"> (UP)</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Bhattu</w:t>
            </w:r>
            <w:proofErr w:type="spellEnd"/>
            <w:r w:rsidRPr="0055240D">
              <w:t xml:space="preserve"> (Haryana)</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Kannauj</w:t>
            </w:r>
            <w:proofErr w:type="spellEnd"/>
            <w:r w:rsidRPr="0055240D">
              <w:t xml:space="preserve"> (UP)</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Sonepat</w:t>
            </w:r>
            <w:proofErr w:type="spellEnd"/>
            <w:r w:rsidRPr="0055240D">
              <w:t xml:space="preserve"> (Haryana)</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Basti</w:t>
            </w:r>
            <w:proofErr w:type="spellEnd"/>
            <w:r w:rsidRPr="0055240D">
              <w:t xml:space="preserve"> (UP)</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Jind</w:t>
            </w:r>
            <w:proofErr w:type="spellEnd"/>
            <w:r w:rsidRPr="0055240D">
              <w:t xml:space="preserve"> (Haryana)</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Malda</w:t>
            </w:r>
            <w:proofErr w:type="spellEnd"/>
            <w:r w:rsidRPr="0055240D">
              <w:t xml:space="preserve"> (West Bengal)</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Batala</w:t>
            </w:r>
            <w:proofErr w:type="spellEnd"/>
            <w:r w:rsidRPr="0055240D">
              <w:t xml:space="preserve"> (Punjab)</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Palanpur</w:t>
            </w:r>
            <w:proofErr w:type="spellEnd"/>
            <w:r w:rsidRPr="0055240D">
              <w:t xml:space="preserve"> &amp; </w:t>
            </w:r>
            <w:proofErr w:type="spellStart"/>
            <w:r w:rsidRPr="0055240D">
              <w:t>Siddhpur</w:t>
            </w:r>
            <w:proofErr w:type="spellEnd"/>
            <w:r w:rsidRPr="0055240D">
              <w:t xml:space="preserve"> (Gujarat)</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Chhehreatta</w:t>
            </w:r>
            <w:proofErr w:type="spellEnd"/>
            <w:r w:rsidRPr="0055240D">
              <w:t xml:space="preserve"> (Punjab)</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Amreli</w:t>
            </w:r>
            <w:proofErr w:type="spellEnd"/>
            <w:r w:rsidRPr="0055240D">
              <w:t xml:space="preserve"> (Gujarat)</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Panipat</w:t>
            </w:r>
            <w:proofErr w:type="spellEnd"/>
            <w:r w:rsidRPr="0055240D">
              <w:t xml:space="preserve"> (Haryana)</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Deoria</w:t>
            </w:r>
            <w:proofErr w:type="spellEnd"/>
            <w:r w:rsidRPr="0055240D">
              <w:t xml:space="preserve"> (UP)</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Sahnewal</w:t>
            </w:r>
            <w:proofErr w:type="spellEnd"/>
            <w:r w:rsidRPr="0055240D">
              <w:t xml:space="preserve"> (Punjab)</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Faizabad</w:t>
            </w:r>
            <w:proofErr w:type="spellEnd"/>
            <w:r w:rsidRPr="0055240D">
              <w:t xml:space="preserve"> (UP)</w:t>
            </w:r>
          </w:p>
        </w:tc>
        <w:tc>
          <w:tcPr>
            <w:tcW w:w="1417" w:type="dxa"/>
            <w:vAlign w:val="center"/>
          </w:tcPr>
          <w:p w:rsidR="00BD209A" w:rsidRPr="0055240D" w:rsidRDefault="00BD209A" w:rsidP="00F3605D">
            <w:pPr>
              <w:jc w:val="right"/>
              <w:rPr>
                <w:rFonts w:eastAsiaTheme="majorEastAsia" w:cs="Times New Roman"/>
                <w:b/>
                <w:bCs/>
                <w:color w:val="365F91" w:themeColor="accent1" w:themeShade="BF"/>
                <w:sz w:val="32"/>
                <w:szCs w:val="32"/>
                <w:lang w:val="en-U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r w:rsidRPr="0055240D">
              <w:t>Jalalabad (Punjab)</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r w:rsidRPr="0055240D">
              <w:t>Baroda (Gujarat)</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Align w:val="center"/>
          </w:tcPr>
          <w:p w:rsidR="00BD209A" w:rsidRPr="0055240D" w:rsidRDefault="00BD209A" w:rsidP="00F3605D">
            <w:pPr>
              <w:rPr>
                <w:rFonts w:cs="Times New Roman"/>
                <w:b/>
                <w:bCs/>
              </w:rPr>
            </w:pPr>
            <w:proofErr w:type="spellStart"/>
            <w:r w:rsidRPr="0055240D">
              <w:t>Rohtak</w:t>
            </w:r>
            <w:proofErr w:type="spellEnd"/>
            <w:r w:rsidRPr="0055240D">
              <w:t xml:space="preserve"> (Haryana)</w:t>
            </w:r>
          </w:p>
        </w:tc>
        <w:tc>
          <w:tcPr>
            <w:tcW w:w="1276" w:type="dxa"/>
            <w:vAlign w:val="center"/>
          </w:tcPr>
          <w:p w:rsidR="00BD209A" w:rsidRPr="0055240D" w:rsidRDefault="00BD209A" w:rsidP="00F3605D">
            <w:pPr>
              <w:jc w:val="right"/>
              <w:rPr>
                <w:rFonts w:cs="Times New Roman"/>
                <w:b/>
                <w:bCs/>
              </w:rPr>
            </w:pPr>
            <w:r w:rsidRPr="0055240D">
              <w:t>50,000</w:t>
            </w:r>
          </w:p>
        </w:tc>
        <w:tc>
          <w:tcPr>
            <w:tcW w:w="2835" w:type="dxa"/>
            <w:vAlign w:val="center"/>
          </w:tcPr>
          <w:p w:rsidR="00BD209A" w:rsidRPr="0055240D" w:rsidRDefault="00BD209A" w:rsidP="00F3605D">
            <w:pPr>
              <w:rPr>
                <w:rFonts w:cs="Times New Roman"/>
                <w:b/>
                <w:bCs/>
              </w:rPr>
            </w:pPr>
            <w:proofErr w:type="spellStart"/>
            <w:r w:rsidRPr="0055240D">
              <w:t>Darbhanga</w:t>
            </w:r>
            <w:proofErr w:type="spellEnd"/>
            <w:r w:rsidRPr="0055240D">
              <w:t xml:space="preserve"> (Bihar)</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val="restart"/>
          </w:tcPr>
          <w:p w:rsidR="00BD209A" w:rsidRPr="0055240D" w:rsidRDefault="00BD209A" w:rsidP="00F3605D">
            <w:pPr>
              <w:jc w:val="center"/>
              <w:rPr>
                <w:rFonts w:cs="Times New Roman"/>
                <w:b/>
                <w:bCs/>
              </w:rPr>
            </w:pPr>
          </w:p>
        </w:tc>
        <w:tc>
          <w:tcPr>
            <w:tcW w:w="1276" w:type="dxa"/>
            <w:vMerge w:val="restart"/>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proofErr w:type="spellStart"/>
            <w:r w:rsidRPr="0055240D">
              <w:t>Samastipur</w:t>
            </w:r>
            <w:proofErr w:type="spellEnd"/>
            <w:r w:rsidRPr="0055240D">
              <w:t xml:space="preserve"> (Bihar)</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r w:rsidRPr="0055240D">
              <w:t>Bhagalpur (Bihar)</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proofErr w:type="spellStart"/>
            <w:r w:rsidRPr="0055240D">
              <w:t>Fatehpur</w:t>
            </w:r>
            <w:proofErr w:type="spellEnd"/>
            <w:r w:rsidRPr="0055240D">
              <w:t xml:space="preserve"> (UP)</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r w:rsidRPr="0055240D">
              <w:t>Gorakhpur (UP)</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r w:rsidRPr="0055240D">
              <w:t>Lucknow (UP)</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proofErr w:type="spellStart"/>
            <w:r w:rsidRPr="0055240D">
              <w:t>Madhubani</w:t>
            </w:r>
            <w:proofErr w:type="spellEnd"/>
            <w:r w:rsidRPr="0055240D">
              <w:t xml:space="preserve"> (Bihar)</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proofErr w:type="spellStart"/>
            <w:r w:rsidRPr="0055240D">
              <w:t>Khagaria</w:t>
            </w:r>
            <w:proofErr w:type="spellEnd"/>
            <w:r w:rsidRPr="0055240D">
              <w:t xml:space="preserve"> (Bihar)</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r w:rsidRPr="0055240D">
              <w:t>Saran (Bihar)</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proofErr w:type="spellStart"/>
            <w:r w:rsidRPr="0055240D">
              <w:t>Motihari</w:t>
            </w:r>
            <w:proofErr w:type="spellEnd"/>
            <w:r w:rsidRPr="0055240D">
              <w:t xml:space="preserve"> (Bihar)</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proofErr w:type="spellStart"/>
            <w:r w:rsidRPr="0055240D">
              <w:t>Madhepura</w:t>
            </w:r>
            <w:proofErr w:type="spellEnd"/>
            <w:r w:rsidRPr="0055240D">
              <w:t xml:space="preserve"> (Bihar)</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r w:rsidRPr="0055240D">
              <w:t xml:space="preserve">Durgapur (West Bengal) </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proofErr w:type="spellStart"/>
            <w:r w:rsidRPr="0055240D">
              <w:t>Murshidabad</w:t>
            </w:r>
            <w:proofErr w:type="spellEnd"/>
            <w:r w:rsidRPr="0055240D">
              <w:t xml:space="preserve"> (West Bengal) </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proofErr w:type="spellStart"/>
            <w:r w:rsidRPr="0055240D">
              <w:t>Balurghat</w:t>
            </w:r>
            <w:proofErr w:type="spellEnd"/>
            <w:r w:rsidRPr="0055240D">
              <w:t xml:space="preserve"> (West Bengal) </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567" w:type="dxa"/>
            <w:vAlign w:val="center"/>
          </w:tcPr>
          <w:p w:rsidR="00BD209A" w:rsidRPr="0055240D" w:rsidRDefault="00BD209A" w:rsidP="00BD209A">
            <w:pPr>
              <w:pStyle w:val="ListParagraph"/>
              <w:numPr>
                <w:ilvl w:val="0"/>
                <w:numId w:val="12"/>
              </w:numPr>
              <w:ind w:left="473"/>
              <w:jc w:val="center"/>
              <w:rPr>
                <w:rFonts w:cs="Times New Roman"/>
              </w:rPr>
            </w:pPr>
          </w:p>
        </w:tc>
        <w:tc>
          <w:tcPr>
            <w:tcW w:w="2126" w:type="dxa"/>
            <w:vMerge/>
          </w:tcPr>
          <w:p w:rsidR="00BD209A" w:rsidRPr="0055240D" w:rsidRDefault="00BD209A" w:rsidP="00F3605D">
            <w:pPr>
              <w:jc w:val="center"/>
              <w:rPr>
                <w:rFonts w:cs="Times New Roman"/>
                <w:b/>
                <w:bCs/>
              </w:rPr>
            </w:pPr>
          </w:p>
        </w:tc>
        <w:tc>
          <w:tcPr>
            <w:tcW w:w="1276" w:type="dxa"/>
            <w:vMerge/>
          </w:tcPr>
          <w:p w:rsidR="00BD209A" w:rsidRPr="0055240D" w:rsidRDefault="00BD209A" w:rsidP="00F3605D">
            <w:pPr>
              <w:jc w:val="center"/>
              <w:rPr>
                <w:rFonts w:cs="Times New Roman"/>
                <w:b/>
                <w:bCs/>
              </w:rPr>
            </w:pPr>
          </w:p>
        </w:tc>
        <w:tc>
          <w:tcPr>
            <w:tcW w:w="2835" w:type="dxa"/>
            <w:vAlign w:val="center"/>
          </w:tcPr>
          <w:p w:rsidR="00BD209A" w:rsidRPr="0055240D" w:rsidRDefault="00BD209A" w:rsidP="00F3605D">
            <w:pPr>
              <w:rPr>
                <w:rFonts w:cs="Times New Roman"/>
                <w:b/>
                <w:bCs/>
              </w:rPr>
            </w:pPr>
            <w:proofErr w:type="spellStart"/>
            <w:r w:rsidRPr="0055240D">
              <w:t>Dankuni</w:t>
            </w:r>
            <w:proofErr w:type="spellEnd"/>
            <w:r w:rsidRPr="0055240D">
              <w:t xml:space="preserve"> (West Bengal) </w:t>
            </w:r>
          </w:p>
        </w:tc>
        <w:tc>
          <w:tcPr>
            <w:tcW w:w="1417" w:type="dxa"/>
            <w:vAlign w:val="center"/>
          </w:tcPr>
          <w:p w:rsidR="00BD209A" w:rsidRPr="0055240D" w:rsidRDefault="00BD209A" w:rsidP="00F3605D">
            <w:pPr>
              <w:jc w:val="right"/>
              <w:rPr>
                <w:rFonts w:cs="Times New Roman"/>
                <w:b/>
                <w:bCs/>
              </w:rPr>
            </w:pPr>
            <w:r w:rsidRPr="0055240D">
              <w:t>50,000</w:t>
            </w:r>
          </w:p>
        </w:tc>
      </w:tr>
      <w:tr w:rsidR="00BD209A" w:rsidRPr="0055240D" w:rsidTr="00F3605D">
        <w:tc>
          <w:tcPr>
            <w:tcW w:w="2693" w:type="dxa"/>
            <w:gridSpan w:val="2"/>
          </w:tcPr>
          <w:p w:rsidR="00BD209A" w:rsidRPr="0055240D" w:rsidRDefault="00BD209A" w:rsidP="00F3605D">
            <w:pPr>
              <w:jc w:val="center"/>
              <w:rPr>
                <w:rFonts w:cs="Times New Roman"/>
                <w:b/>
                <w:bCs/>
              </w:rPr>
            </w:pPr>
            <w:r w:rsidRPr="0055240D">
              <w:rPr>
                <w:rFonts w:cs="Times New Roman"/>
                <w:b/>
                <w:bCs/>
              </w:rPr>
              <w:t>Total</w:t>
            </w:r>
          </w:p>
        </w:tc>
        <w:tc>
          <w:tcPr>
            <w:tcW w:w="1276" w:type="dxa"/>
            <w:vAlign w:val="center"/>
          </w:tcPr>
          <w:p w:rsidR="00BD209A" w:rsidRPr="0055240D" w:rsidRDefault="00BD209A" w:rsidP="00F3605D">
            <w:pPr>
              <w:jc w:val="right"/>
              <w:rPr>
                <w:rFonts w:eastAsiaTheme="majorEastAsia" w:cs="Times New Roman"/>
                <w:b/>
                <w:bCs/>
                <w:color w:val="365F91" w:themeColor="accent1" w:themeShade="BF"/>
                <w:sz w:val="32"/>
                <w:szCs w:val="32"/>
                <w:lang w:val="en-US"/>
              </w:rPr>
            </w:pPr>
            <w:r w:rsidRPr="0055240D">
              <w:rPr>
                <w:rFonts w:cs="Times New Roman"/>
                <w:b/>
                <w:bCs/>
              </w:rPr>
              <w:t>6,75,000</w:t>
            </w:r>
          </w:p>
        </w:tc>
        <w:tc>
          <w:tcPr>
            <w:tcW w:w="2835" w:type="dxa"/>
          </w:tcPr>
          <w:p w:rsidR="00BD209A" w:rsidRPr="0055240D" w:rsidRDefault="00BD209A" w:rsidP="00F3605D">
            <w:pPr>
              <w:jc w:val="center"/>
              <w:rPr>
                <w:rFonts w:cs="Times New Roman"/>
                <w:b/>
                <w:bCs/>
              </w:rPr>
            </w:pPr>
            <w:r w:rsidRPr="0055240D">
              <w:rPr>
                <w:rFonts w:cs="Times New Roman"/>
                <w:b/>
                <w:bCs/>
              </w:rPr>
              <w:t>Total</w:t>
            </w:r>
          </w:p>
        </w:tc>
        <w:tc>
          <w:tcPr>
            <w:tcW w:w="1417" w:type="dxa"/>
            <w:vAlign w:val="center"/>
          </w:tcPr>
          <w:p w:rsidR="00BD209A" w:rsidRPr="0055240D" w:rsidRDefault="00BD209A" w:rsidP="00F3605D">
            <w:pPr>
              <w:jc w:val="right"/>
              <w:rPr>
                <w:rFonts w:eastAsiaTheme="majorEastAsia" w:cs="Times New Roman"/>
                <w:b/>
                <w:bCs/>
                <w:color w:val="365F91" w:themeColor="accent1" w:themeShade="BF"/>
                <w:sz w:val="32"/>
                <w:szCs w:val="32"/>
                <w:lang w:val="en-US"/>
              </w:rPr>
            </w:pPr>
            <w:r w:rsidRPr="0055240D">
              <w:rPr>
                <w:rFonts w:cs="Times New Roman"/>
                <w:b/>
                <w:bCs/>
              </w:rPr>
              <w:t>13,50,000</w:t>
            </w:r>
          </w:p>
        </w:tc>
      </w:tr>
    </w:tbl>
    <w:p w:rsidR="00BD209A" w:rsidRPr="0055240D" w:rsidRDefault="00BD209A" w:rsidP="00BD209A">
      <w:pPr>
        <w:spacing w:after="0"/>
        <w:ind w:left="720"/>
        <w:jc w:val="center"/>
        <w:rPr>
          <w:rFonts w:cs="Times New Roman"/>
          <w:b/>
          <w:bCs/>
        </w:rPr>
      </w:pPr>
    </w:p>
    <w:p w:rsidR="00BD209A" w:rsidRDefault="00BD209A" w:rsidP="00BD209A">
      <w:pPr>
        <w:rPr>
          <w:rFonts w:cstheme="minorHAnsi"/>
          <w:b/>
          <w:sz w:val="24"/>
          <w:szCs w:val="24"/>
          <w:u w:val="single"/>
          <w:lang w:val="en-US"/>
        </w:rPr>
      </w:pPr>
      <w:bookmarkStart w:id="0" w:name="_GoBack"/>
      <w:bookmarkEnd w:id="0"/>
    </w:p>
    <w:sectPr w:rsidR="00BD2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A47"/>
    <w:multiLevelType w:val="hybridMultilevel"/>
    <w:tmpl w:val="0060E3E4"/>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917E9A"/>
    <w:multiLevelType w:val="hybridMultilevel"/>
    <w:tmpl w:val="9702B736"/>
    <w:lvl w:ilvl="0" w:tplc="B2B8D9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6947C53"/>
    <w:multiLevelType w:val="hybridMultilevel"/>
    <w:tmpl w:val="B47EDF5C"/>
    <w:lvl w:ilvl="0" w:tplc="81EA4E2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2E1EA9"/>
    <w:multiLevelType w:val="multilevel"/>
    <w:tmpl w:val="1F66089C"/>
    <w:lvl w:ilvl="0">
      <w:start w:val="1"/>
      <w:numFmt w:val="upperLetter"/>
      <w:lvlText w:val="%1."/>
      <w:lvlJc w:val="left"/>
      <w:pPr>
        <w:ind w:left="360" w:hanging="360"/>
      </w:pPr>
      <w:rPr>
        <w:rFonts w:ascii="Times New Roman" w:eastAsiaTheme="minorHAnsi" w:hAnsi="Times New Roman"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1550D4F"/>
    <w:multiLevelType w:val="hybridMultilevel"/>
    <w:tmpl w:val="811A450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38729F"/>
    <w:multiLevelType w:val="hybridMultilevel"/>
    <w:tmpl w:val="5E0EB0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BD31ED"/>
    <w:multiLevelType w:val="multilevel"/>
    <w:tmpl w:val="54EC6E14"/>
    <w:lvl w:ilvl="0">
      <w:start w:val="1"/>
      <w:numFmt w:val="decimal"/>
      <w:lvlText w:val="%1."/>
      <w:lvlJc w:val="left"/>
      <w:pPr>
        <w:ind w:left="360" w:hanging="360"/>
      </w:pPr>
      <w:rPr>
        <w:rFonts w:ascii="Times New Roman" w:eastAsiaTheme="majorEastAsia" w:hAnsi="Times New Roman" w:cstheme="maj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C942007"/>
    <w:multiLevelType w:val="hybridMultilevel"/>
    <w:tmpl w:val="28361702"/>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99345D"/>
    <w:multiLevelType w:val="hybridMultilevel"/>
    <w:tmpl w:val="BB0429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9716BF4"/>
    <w:multiLevelType w:val="hybridMultilevel"/>
    <w:tmpl w:val="72F0C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C9F729A"/>
    <w:multiLevelType w:val="hybridMultilevel"/>
    <w:tmpl w:val="6FCAF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B11840"/>
    <w:multiLevelType w:val="hybridMultilevel"/>
    <w:tmpl w:val="28E2E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A226293"/>
    <w:multiLevelType w:val="hybridMultilevel"/>
    <w:tmpl w:val="C6CE6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1"/>
  </w:num>
  <w:num w:numId="5">
    <w:abstractNumId w:val="5"/>
  </w:num>
  <w:num w:numId="6">
    <w:abstractNumId w:val="8"/>
  </w:num>
  <w:num w:numId="7">
    <w:abstractNumId w:val="4"/>
  </w:num>
  <w:num w:numId="8">
    <w:abstractNumId w:val="7"/>
  </w:num>
  <w:num w:numId="9">
    <w:abstractNumId w:val="0"/>
  </w:num>
  <w:num w:numId="10">
    <w:abstractNumId w:val="3"/>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21"/>
    <w:rsid w:val="000121DE"/>
    <w:rsid w:val="000404C7"/>
    <w:rsid w:val="000E127E"/>
    <w:rsid w:val="0011282F"/>
    <w:rsid w:val="00124F18"/>
    <w:rsid w:val="001B7390"/>
    <w:rsid w:val="00226454"/>
    <w:rsid w:val="0024404E"/>
    <w:rsid w:val="00287914"/>
    <w:rsid w:val="002975C2"/>
    <w:rsid w:val="002C4AE1"/>
    <w:rsid w:val="002D03CC"/>
    <w:rsid w:val="00320B30"/>
    <w:rsid w:val="0036246D"/>
    <w:rsid w:val="00363E3F"/>
    <w:rsid w:val="00370370"/>
    <w:rsid w:val="00394579"/>
    <w:rsid w:val="003A57EE"/>
    <w:rsid w:val="003C7FE9"/>
    <w:rsid w:val="003D6FF6"/>
    <w:rsid w:val="00443B19"/>
    <w:rsid w:val="0045094C"/>
    <w:rsid w:val="0045540A"/>
    <w:rsid w:val="00466CC6"/>
    <w:rsid w:val="00482592"/>
    <w:rsid w:val="00486CE8"/>
    <w:rsid w:val="004E5F2F"/>
    <w:rsid w:val="004E7221"/>
    <w:rsid w:val="004F737C"/>
    <w:rsid w:val="005210F6"/>
    <w:rsid w:val="00527352"/>
    <w:rsid w:val="00563E5A"/>
    <w:rsid w:val="005B2324"/>
    <w:rsid w:val="00602064"/>
    <w:rsid w:val="00654ED5"/>
    <w:rsid w:val="00665FA5"/>
    <w:rsid w:val="0067142A"/>
    <w:rsid w:val="00671A4B"/>
    <w:rsid w:val="006B2A24"/>
    <w:rsid w:val="006B5E5D"/>
    <w:rsid w:val="006F63D5"/>
    <w:rsid w:val="00711BE4"/>
    <w:rsid w:val="007320BE"/>
    <w:rsid w:val="0074388C"/>
    <w:rsid w:val="00754FCF"/>
    <w:rsid w:val="0076491B"/>
    <w:rsid w:val="00783063"/>
    <w:rsid w:val="008216B8"/>
    <w:rsid w:val="008800DE"/>
    <w:rsid w:val="008B797E"/>
    <w:rsid w:val="008D0CDF"/>
    <w:rsid w:val="008D2ABD"/>
    <w:rsid w:val="00921377"/>
    <w:rsid w:val="009622AA"/>
    <w:rsid w:val="009B68A0"/>
    <w:rsid w:val="009C7237"/>
    <w:rsid w:val="00A05503"/>
    <w:rsid w:val="00A500F2"/>
    <w:rsid w:val="00A755EE"/>
    <w:rsid w:val="00AC14D6"/>
    <w:rsid w:val="00AC5E5D"/>
    <w:rsid w:val="00AE300E"/>
    <w:rsid w:val="00AF1AD0"/>
    <w:rsid w:val="00AF2114"/>
    <w:rsid w:val="00B04BF3"/>
    <w:rsid w:val="00B776E8"/>
    <w:rsid w:val="00B81869"/>
    <w:rsid w:val="00B853F4"/>
    <w:rsid w:val="00BC32A1"/>
    <w:rsid w:val="00BD0CAB"/>
    <w:rsid w:val="00BD209A"/>
    <w:rsid w:val="00BD77FF"/>
    <w:rsid w:val="00BE5D6A"/>
    <w:rsid w:val="00BE78F4"/>
    <w:rsid w:val="00C0651E"/>
    <w:rsid w:val="00C23CE3"/>
    <w:rsid w:val="00C24F22"/>
    <w:rsid w:val="00C516E5"/>
    <w:rsid w:val="00C520B5"/>
    <w:rsid w:val="00C57CDE"/>
    <w:rsid w:val="00C81679"/>
    <w:rsid w:val="00CA148A"/>
    <w:rsid w:val="00CA7057"/>
    <w:rsid w:val="00CD2670"/>
    <w:rsid w:val="00D078EA"/>
    <w:rsid w:val="00DF37D8"/>
    <w:rsid w:val="00E24637"/>
    <w:rsid w:val="00E5518B"/>
    <w:rsid w:val="00E726B0"/>
    <w:rsid w:val="00E95C6D"/>
    <w:rsid w:val="00F0094D"/>
    <w:rsid w:val="00F10297"/>
    <w:rsid w:val="00F10974"/>
    <w:rsid w:val="00F8325C"/>
    <w:rsid w:val="00F85FDB"/>
    <w:rsid w:val="00F90B19"/>
    <w:rsid w:val="00FB25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09A"/>
    <w:pPr>
      <w:keepNext/>
      <w:keepLines/>
      <w:spacing w:before="240" w:after="0"/>
      <w:jc w:val="center"/>
      <w:outlineLvl w:val="0"/>
    </w:pPr>
    <w:rPr>
      <w:rFonts w:ascii="Times New Roman" w:eastAsiaTheme="majorEastAsia" w:hAnsi="Times New Roman" w:cstheme="majorBidi"/>
      <w:color w:val="E36C0A" w:themeColor="accent6" w:themeShade="BF"/>
      <w:sz w:val="28"/>
      <w:szCs w:val="32"/>
    </w:rPr>
  </w:style>
  <w:style w:type="paragraph" w:styleId="Heading2">
    <w:name w:val="heading 2"/>
    <w:basedOn w:val="Normal"/>
    <w:next w:val="Normal"/>
    <w:link w:val="Heading2Char"/>
    <w:uiPriority w:val="9"/>
    <w:unhideWhenUsed/>
    <w:qFormat/>
    <w:rsid w:val="00BD209A"/>
    <w:pPr>
      <w:keepNext/>
      <w:keepLines/>
      <w:spacing w:before="40" w:after="0"/>
      <w:jc w:val="both"/>
      <w:outlineLvl w:val="1"/>
    </w:pPr>
    <w:rPr>
      <w:rFonts w:ascii="Times New Roman" w:eastAsiaTheme="majorEastAsia" w:hAnsi="Times New Roman" w:cstheme="majorBidi"/>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List Paragraph1,Heading 91,Heading 911,Heading 9111,Heading 91111,Heading 92,WinDForce-Letter,List Paragraph11,List Paragraph2,Report Para,Medium Grid 1 - Accent 21,Colorful List - Accent 111,Number Bullets,Heading 2_sj"/>
    <w:basedOn w:val="Normal"/>
    <w:link w:val="ListParagraphChar"/>
    <w:uiPriority w:val="34"/>
    <w:qFormat/>
    <w:rsid w:val="00F8325C"/>
    <w:pPr>
      <w:ind w:left="720"/>
      <w:contextualSpacing/>
    </w:pPr>
  </w:style>
  <w:style w:type="character" w:customStyle="1" w:styleId="Heading1Char">
    <w:name w:val="Heading 1 Char"/>
    <w:basedOn w:val="DefaultParagraphFont"/>
    <w:link w:val="Heading1"/>
    <w:uiPriority w:val="9"/>
    <w:rsid w:val="00BD209A"/>
    <w:rPr>
      <w:rFonts w:ascii="Times New Roman" w:eastAsiaTheme="majorEastAsia" w:hAnsi="Times New Roman" w:cstheme="majorBidi"/>
      <w:color w:val="E36C0A" w:themeColor="accent6" w:themeShade="BF"/>
      <w:sz w:val="28"/>
      <w:szCs w:val="32"/>
    </w:rPr>
  </w:style>
  <w:style w:type="character" w:customStyle="1" w:styleId="Heading2Char">
    <w:name w:val="Heading 2 Char"/>
    <w:basedOn w:val="DefaultParagraphFont"/>
    <w:link w:val="Heading2"/>
    <w:uiPriority w:val="9"/>
    <w:rsid w:val="00BD209A"/>
    <w:rPr>
      <w:rFonts w:ascii="Times New Roman" w:eastAsiaTheme="majorEastAsia" w:hAnsi="Times New Roman" w:cstheme="majorBidi"/>
      <w:color w:val="365F91" w:themeColor="accent1" w:themeShade="BF"/>
      <w:sz w:val="24"/>
      <w:szCs w:val="26"/>
    </w:rPr>
  </w:style>
  <w:style w:type="table" w:styleId="TableGrid">
    <w:name w:val="Table Grid"/>
    <w:basedOn w:val="TableNormal"/>
    <w:uiPriority w:val="39"/>
    <w:rsid w:val="00BD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Report Para Char"/>
    <w:link w:val="ListParagraph"/>
    <w:uiPriority w:val="34"/>
    <w:rsid w:val="00BD2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09A"/>
    <w:pPr>
      <w:keepNext/>
      <w:keepLines/>
      <w:spacing w:before="240" w:after="0"/>
      <w:jc w:val="center"/>
      <w:outlineLvl w:val="0"/>
    </w:pPr>
    <w:rPr>
      <w:rFonts w:ascii="Times New Roman" w:eastAsiaTheme="majorEastAsia" w:hAnsi="Times New Roman" w:cstheme="majorBidi"/>
      <w:color w:val="E36C0A" w:themeColor="accent6" w:themeShade="BF"/>
      <w:sz w:val="28"/>
      <w:szCs w:val="32"/>
    </w:rPr>
  </w:style>
  <w:style w:type="paragraph" w:styleId="Heading2">
    <w:name w:val="heading 2"/>
    <w:basedOn w:val="Normal"/>
    <w:next w:val="Normal"/>
    <w:link w:val="Heading2Char"/>
    <w:uiPriority w:val="9"/>
    <w:unhideWhenUsed/>
    <w:qFormat/>
    <w:rsid w:val="00BD209A"/>
    <w:pPr>
      <w:keepNext/>
      <w:keepLines/>
      <w:spacing w:before="40" w:after="0"/>
      <w:jc w:val="both"/>
      <w:outlineLvl w:val="1"/>
    </w:pPr>
    <w:rPr>
      <w:rFonts w:ascii="Times New Roman" w:eastAsiaTheme="majorEastAsia" w:hAnsi="Times New Roman" w:cstheme="majorBidi"/>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List Paragraph1,Heading 91,Heading 911,Heading 9111,Heading 91111,Heading 92,WinDForce-Letter,List Paragraph11,List Paragraph2,Report Para,Medium Grid 1 - Accent 21,Colorful List - Accent 111,Number Bullets,Heading 2_sj"/>
    <w:basedOn w:val="Normal"/>
    <w:link w:val="ListParagraphChar"/>
    <w:uiPriority w:val="34"/>
    <w:qFormat/>
    <w:rsid w:val="00F8325C"/>
    <w:pPr>
      <w:ind w:left="720"/>
      <w:contextualSpacing/>
    </w:pPr>
  </w:style>
  <w:style w:type="character" w:customStyle="1" w:styleId="Heading1Char">
    <w:name w:val="Heading 1 Char"/>
    <w:basedOn w:val="DefaultParagraphFont"/>
    <w:link w:val="Heading1"/>
    <w:uiPriority w:val="9"/>
    <w:rsid w:val="00BD209A"/>
    <w:rPr>
      <w:rFonts w:ascii="Times New Roman" w:eastAsiaTheme="majorEastAsia" w:hAnsi="Times New Roman" w:cstheme="majorBidi"/>
      <w:color w:val="E36C0A" w:themeColor="accent6" w:themeShade="BF"/>
      <w:sz w:val="28"/>
      <w:szCs w:val="32"/>
    </w:rPr>
  </w:style>
  <w:style w:type="character" w:customStyle="1" w:styleId="Heading2Char">
    <w:name w:val="Heading 2 Char"/>
    <w:basedOn w:val="DefaultParagraphFont"/>
    <w:link w:val="Heading2"/>
    <w:uiPriority w:val="9"/>
    <w:rsid w:val="00BD209A"/>
    <w:rPr>
      <w:rFonts w:ascii="Times New Roman" w:eastAsiaTheme="majorEastAsia" w:hAnsi="Times New Roman" w:cstheme="majorBidi"/>
      <w:color w:val="365F91" w:themeColor="accent1" w:themeShade="BF"/>
      <w:sz w:val="24"/>
      <w:szCs w:val="26"/>
    </w:rPr>
  </w:style>
  <w:style w:type="table" w:styleId="TableGrid">
    <w:name w:val="Table Grid"/>
    <w:basedOn w:val="TableNormal"/>
    <w:uiPriority w:val="39"/>
    <w:rsid w:val="00BD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Report Para Char"/>
    <w:link w:val="ListParagraph"/>
    <w:uiPriority w:val="34"/>
    <w:rsid w:val="00BD2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cp:revision>
  <cp:lastPrinted>2022-05-25T10:54:00Z</cp:lastPrinted>
  <dcterms:created xsi:type="dcterms:W3CDTF">2022-05-25T10:55:00Z</dcterms:created>
  <dcterms:modified xsi:type="dcterms:W3CDTF">2022-06-01T09:06:00Z</dcterms:modified>
</cp:coreProperties>
</file>